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E5" w:rsidRDefault="009800F6">
      <w:pPr>
        <w:spacing w:after="6" w:line="253" w:lineRule="auto"/>
        <w:ind w:left="10" w:right="0" w:hanging="3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2756916</wp:posOffset>
            </wp:positionH>
            <wp:positionV relativeFrom="paragraph">
              <wp:posOffset>-234334</wp:posOffset>
            </wp:positionV>
            <wp:extent cx="946404" cy="960120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«КАЗАЩСТАН РЕСПУБЛИКАСЫНЫЦРЕСПУБЛИКАНСКОЕ</w:t>
      </w:r>
    </w:p>
    <w:p w:rsidR="004257E5" w:rsidRDefault="009800F6">
      <w:pPr>
        <w:spacing w:after="250" w:line="253" w:lineRule="auto"/>
        <w:ind w:left="1141" w:right="0" w:hanging="3"/>
        <w:jc w:val="left"/>
      </w:pPr>
      <w:r>
        <w:rPr>
          <w:sz w:val="22"/>
        </w:rPr>
        <w:t>УЛТТЬЩ БАНКЬГОСУДАРСТВЕННОЕ УЧРЕЖДЕНИЕ</w:t>
      </w:r>
    </w:p>
    <w:p w:rsidR="004257E5" w:rsidRDefault="009800F6">
      <w:pPr>
        <w:pStyle w:val="1"/>
      </w:pPr>
      <w:r>
        <w:t>РЕСПУБЛИКАЛЬЩ«НАЦИОНАЛЬНЫЙ БАНК</w:t>
      </w:r>
    </w:p>
    <w:p w:rsidR="004257E5" w:rsidRDefault="009800F6">
      <w:pPr>
        <w:pStyle w:val="2"/>
        <w:spacing w:after="289"/>
        <w:ind w:left="0" w:right="108"/>
      </w:pPr>
      <w:r>
        <w:t>МЕМЛЕКЕТТIК МЕКЕМЕС1РЕСПУБЛИКИ КАЗАХСТАН»</w:t>
      </w:r>
    </w:p>
    <w:p w:rsidR="004257E5" w:rsidRDefault="009800F6">
      <w:pPr>
        <w:spacing w:after="6" w:line="253" w:lineRule="auto"/>
        <w:ind w:left="197" w:right="0" w:hanging="3"/>
        <w:jc w:val="left"/>
      </w:pPr>
      <w:r>
        <w:rPr>
          <w:sz w:val="22"/>
        </w:rPr>
        <w:t>Департамент/Баскарма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  <w:t>ем</w:t>
      </w:r>
      <w:r>
        <w:rPr>
          <w:sz w:val="22"/>
        </w:rPr>
        <w:t>ес</w:t>
      </w:r>
      <w:r>
        <w:rPr>
          <w:sz w:val="22"/>
        </w:rPr>
        <w:tab/>
        <w:t xml:space="preserve">Департамент/Управление—реџд.ирпвания </w:t>
      </w:r>
      <w:r>
        <w:rPr>
          <w:noProof/>
        </w:rPr>
        <w:drawing>
          <wp:inline distT="0" distB="0" distL="0" distR="0">
            <wp:extent cx="173736" cy="18288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каржы уйымдарын репеу )IenapTaMeHTi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2807208" cy="155448"/>
            <wp:effectExtent l="0" t="0" r="0" b="0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E5" w:rsidRDefault="009800F6">
      <w:pPr>
        <w:spacing w:after="0" w:line="251" w:lineRule="auto"/>
        <w:ind w:left="238" w:right="547" w:firstLine="576"/>
        <w:jc w:val="left"/>
      </w:pPr>
      <w:r>
        <w:rPr>
          <w:sz w:val="16"/>
        </w:rPr>
        <w:t>()5()()4(), Алматы к., Коктем-З, 21 -уй</w:t>
      </w:r>
      <w:r>
        <w:rPr>
          <w:sz w:val="16"/>
        </w:rPr>
        <w:tab/>
        <w:t>050040, г. Алматы, Коктем-З, дом 21 тел.: +7 727 2704591, факс: +7 727 2704655</w:t>
      </w:r>
      <w:r>
        <w:rPr>
          <w:sz w:val="16"/>
        </w:rPr>
        <w:tab/>
        <w:t>тел.: +7 727 2704591, факс: +7 727 2704655 телекс: 251130 BNk E-mail: hq@nationalbank.kz</w:t>
      </w:r>
      <w:r>
        <w:rPr>
          <w:sz w:val="16"/>
        </w:rPr>
        <w:tab/>
        <w:t>телекс: 25</w:t>
      </w:r>
      <w:r>
        <w:rPr>
          <w:sz w:val="16"/>
        </w:rPr>
        <w:t>1130 BNk КИ, E-mail: hq@nationalbank.kz</w:t>
      </w:r>
    </w:p>
    <w:p w:rsidR="004257E5" w:rsidRDefault="009800F6">
      <w:pPr>
        <w:spacing w:after="210" w:line="259" w:lineRule="auto"/>
        <w:ind w:left="-36" w:right="0" w:firstLine="0"/>
        <w:jc w:val="left"/>
      </w:pPr>
      <w:r>
        <w:rPr>
          <w:noProof/>
        </w:rPr>
        <w:drawing>
          <wp:inline distT="0" distB="0" distL="0" distR="0">
            <wp:extent cx="2715768" cy="269748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E5" w:rsidRDefault="009800F6">
      <w:pPr>
        <w:tabs>
          <w:tab w:val="center" w:pos="7236"/>
        </w:tabs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8044" cy="13716"/>
                <wp:effectExtent l="0" t="0" r="0" b="0"/>
                <wp:docPr id="4904" name="Group 4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044" cy="13716"/>
                          <a:chOff x="0" y="0"/>
                          <a:chExt cx="2638044" cy="13716"/>
                        </a:xfrm>
                      </wpg:grpSpPr>
                      <wps:wsp>
                        <wps:cNvPr id="4903" name="Shape 4903"/>
                        <wps:cNvSpPr/>
                        <wps:spPr>
                          <a:xfrm>
                            <a:off x="0" y="0"/>
                            <a:ext cx="26380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13716">
                                <a:moveTo>
                                  <a:pt x="0" y="6858"/>
                                </a:moveTo>
                                <a:lnTo>
                                  <a:pt x="26380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4" style="width:207.72pt;height:1.08pt;mso-position-horizontal-relative:char;mso-position-vertical-relative:line" coordsize="26380,137">
                <v:shape id="Shape 4903" style="position:absolute;width:26380;height:137;left:0;top:0;" coordsize="2638044,13716" path="m0,6858l263804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0"/>
        </w:rPr>
        <w:tab/>
        <w:t>ОЮЛ &lt;&lt;Ассоциация финансистов</w:t>
      </w:r>
    </w:p>
    <w:p w:rsidR="004257E5" w:rsidRDefault="009800F6">
      <w:pPr>
        <w:spacing w:after="0" w:line="265" w:lineRule="auto"/>
        <w:ind w:left="1457" w:right="2095" w:hanging="10"/>
        <w:jc w:val="center"/>
      </w:pPr>
      <w:r>
        <w:rPr>
          <w:sz w:val="30"/>
        </w:rPr>
        <w:t>Казахстана»</w:t>
      </w:r>
    </w:p>
    <w:p w:rsidR="004257E5" w:rsidRDefault="009800F6">
      <w:pPr>
        <w:spacing w:after="42" w:line="259" w:lineRule="auto"/>
        <w:ind w:left="6703" w:right="0" w:firstLine="0"/>
        <w:jc w:val="left"/>
      </w:pPr>
      <w:r>
        <w:rPr>
          <w:noProof/>
        </w:rPr>
        <w:drawing>
          <wp:inline distT="0" distB="0" distL="0" distR="0">
            <wp:extent cx="996696" cy="22860"/>
            <wp:effectExtent l="0" t="0" r="0" b="0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E5" w:rsidRDefault="009800F6">
      <w:pPr>
        <w:spacing w:after="596" w:line="250" w:lineRule="auto"/>
        <w:ind w:left="5119" w:right="122" w:firstLine="0"/>
        <w:jc w:val="left"/>
      </w:pPr>
      <w:r>
        <w:rPr>
          <w:sz w:val="24"/>
        </w:rPr>
        <w:t>050040, г. Алматы, ул. Байзакова 280, БЦ «Almaty Towers»</w:t>
      </w:r>
    </w:p>
    <w:p w:rsidR="004257E5" w:rsidRDefault="009800F6">
      <w:pPr>
        <w:ind w:left="201" w:right="439"/>
      </w:pPr>
      <w:r>
        <w:t xml:space="preserve">Настоящим Департамент регулирования небанковских финансовых организаций Национального Банка Республики Казахстан (далее </w:t>
      </w:r>
      <w:r>
        <w:rPr>
          <w:noProof/>
        </w:rPr>
        <w:drawing>
          <wp:inline distT="0" distB="0" distL="0" distR="0">
            <wp:extent cx="96012" cy="18288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Департамент) повторно направляет на согласование отработанный по итогам рабочих встреч со страховыми (перестраховочными) организациями </w:t>
      </w:r>
      <w:r>
        <w:t>проект постановления Правления Национального Банка Республики Казахстан «Об установлении иных факторов, влияющих на ухудшение финансового положения страховой (перестраховочной) организации и страховой группы, а также утверждении Правил применения мер ранне</w:t>
      </w:r>
      <w:r>
        <w:t xml:space="preserve">го реагирования и методики определения факторов, влияющих на ухудшение финансового положения страховой (перестраховочной) организации (страховой группы)» (далее </w:t>
      </w:r>
      <w:r>
        <w:rPr>
          <w:noProof/>
        </w:rPr>
        <w:drawing>
          <wp:inline distT="0" distB="0" distL="0" distR="0">
            <wp:extent cx="45720" cy="13716"/>
            <wp:effectExtent l="0" t="0" r="0" b="0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проект постановления).</w:t>
      </w:r>
    </w:p>
    <w:p w:rsidR="004257E5" w:rsidRDefault="009800F6">
      <w:pPr>
        <w:spacing w:after="12"/>
        <w:ind w:left="201" w:right="439"/>
      </w:pPr>
      <w:r>
        <w:t>В проекте постановления учтены предложения и замечания страховых (перес</w:t>
      </w:r>
      <w:r>
        <w:t>траховочных) организаций, в частности внесены следующие изменения:</w:t>
      </w:r>
    </w:p>
    <w:p w:rsidR="004257E5" w:rsidRDefault="009800F6">
      <w:pPr>
        <w:numPr>
          <w:ilvl w:val="0"/>
          <w:numId w:val="1"/>
        </w:numPr>
        <w:ind w:right="439"/>
      </w:pPr>
      <w:r>
        <w:t>исключен абзац «В случае одобрения плана мероприятий уполномоченным органом, сроки выполнения мероприятий, установленные в плане мероприятий, не подлежат изменению»;</w:t>
      </w:r>
    </w:p>
    <w:p w:rsidR="004257E5" w:rsidRDefault="009800F6">
      <w:pPr>
        <w:numPr>
          <w:ilvl w:val="0"/>
          <w:numId w:val="1"/>
        </w:numPr>
        <w:ind w:right="439"/>
      </w:pPr>
      <w:r>
        <w:t>пересмотрены предельные</w:t>
      </w:r>
      <w:r>
        <w:t xml:space="preserve"> значения по факторам снижения норматива достаточности маржи платежеспособности и норматива достаточности высоколиквидных активов;</w:t>
      </w:r>
    </w:p>
    <w:p w:rsidR="004257E5" w:rsidRDefault="009800F6">
      <w:pPr>
        <w:ind w:left="201" w:right="439"/>
      </w:pPr>
      <w:r>
        <w:t>З) увеличен период по фактору нахождения уровня финансовой устойчивости (далее — УФУ) в «красной зоне» до трех последовательн</w:t>
      </w:r>
      <w:r>
        <w:t>ых месяцев;</w:t>
      </w:r>
    </w:p>
    <w:p w:rsidR="004257E5" w:rsidRDefault="009800F6">
      <w:pPr>
        <w:numPr>
          <w:ilvl w:val="0"/>
          <w:numId w:val="2"/>
        </w:numPr>
        <w:ind w:right="439"/>
      </w:pPr>
      <w:r>
        <w:lastRenderedPageBreak/>
        <w:t>исключен фактор «УФУ в «красной зоне» и [или в «оранжевой зоне» в течение четырех последовательных месяцев»;</w:t>
      </w:r>
    </w:p>
    <w:p w:rsidR="004257E5" w:rsidRDefault="009800F6">
      <w:pPr>
        <w:numPr>
          <w:ilvl w:val="0"/>
          <w:numId w:val="2"/>
        </w:numPr>
        <w:ind w:right="439"/>
      </w:pPr>
      <w:r>
        <w:t>увеличен период по фактору валютной позиции до трех последовательных месяцев;</w:t>
      </w:r>
    </w:p>
    <w:p w:rsidR="004257E5" w:rsidRDefault="009800F6">
      <w:pPr>
        <w:numPr>
          <w:ilvl w:val="0"/>
          <w:numId w:val="2"/>
        </w:numPr>
        <w:spacing w:after="380"/>
        <w:ind w:right="439"/>
      </w:pPr>
      <w:r>
        <w:t>по методике определения фактора по недостатку активов с у</w:t>
      </w:r>
      <w:r>
        <w:t>четом их классификации по качеству и ликвидности для покрытия страховых резервов (включая долю перестраховщика в страховых резервах) и минимального</w:t>
      </w:r>
    </w:p>
    <w:p w:rsidR="004257E5" w:rsidRDefault="009800F6">
      <w:pPr>
        <w:pStyle w:val="1"/>
        <w:ind w:left="0"/>
        <w:jc w:val="left"/>
      </w:pPr>
      <w:r>
        <w:rPr>
          <w:sz w:val="44"/>
        </w:rPr>
        <w:t>м 0019543</w:t>
      </w:r>
    </w:p>
    <w:p w:rsidR="004257E5" w:rsidRDefault="009800F6">
      <w:pPr>
        <w:spacing w:after="0"/>
        <w:ind w:left="208" w:right="439" w:hanging="7"/>
      </w:pPr>
      <w:r>
        <w:t>размера маржи платежеспособности страховой (перестраховочной) организации, изменен предел с ниже е</w:t>
      </w:r>
      <w:r>
        <w:t>диницы до ниже нуля; 7) расширены интервалы по УФУ с 0,5 о до 1 о.</w:t>
      </w:r>
    </w:p>
    <w:p w:rsidR="004257E5" w:rsidRDefault="009800F6">
      <w:pPr>
        <w:spacing w:after="190"/>
        <w:ind w:left="201" w:right="439"/>
      </w:pPr>
      <w:r>
        <w:t xml:space="preserve">На основании изложенного, просим рассмотреть данный проект постановления и представить заключение в срок до </w:t>
      </w:r>
      <w:r>
        <w:rPr>
          <w:u w:val="single" w:color="000000"/>
        </w:rPr>
        <w:t xml:space="preserve">70 </w:t>
      </w:r>
      <w:r>
        <w:t>2017 года.</w:t>
      </w:r>
    </w:p>
    <w:p w:rsidR="004257E5" w:rsidRDefault="009800F6">
      <w:pPr>
        <w:spacing w:after="33" w:line="259" w:lineRule="auto"/>
        <w:ind w:left="907" w:right="0" w:firstLine="0"/>
        <w:jc w:val="left"/>
      </w:pPr>
      <w:r>
        <w:rPr>
          <w:sz w:val="26"/>
        </w:rPr>
        <w:t>Приложение: над л.</w:t>
      </w:r>
    </w:p>
    <w:p w:rsidR="004257E5" w:rsidRDefault="009800F6">
      <w:pPr>
        <w:spacing w:after="4774" w:line="265" w:lineRule="auto"/>
        <w:ind w:left="10" w:right="22" w:hanging="10"/>
        <w:jc w:val="center"/>
      </w:pPr>
      <w:r>
        <w:rPr>
          <w:sz w:val="30"/>
        </w:rPr>
        <w:t>И.о. директора Департамента</w:t>
      </w:r>
      <w:r>
        <w:rPr>
          <w:noProof/>
        </w:rPr>
        <w:drawing>
          <wp:inline distT="0" distB="0" distL="0" distR="0">
            <wp:extent cx="1568196" cy="763524"/>
            <wp:effectExtent l="0" t="0" r="0" b="0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Амирбаева А.М.</w:t>
      </w:r>
    </w:p>
    <w:p w:rsidR="004257E5" w:rsidRDefault="009800F6">
      <w:pPr>
        <w:spacing w:after="0" w:line="237" w:lineRule="auto"/>
        <w:ind w:left="202" w:right="8014" w:firstLine="7"/>
        <w:jc w:val="left"/>
      </w:pPr>
      <w:r>
        <w:rPr>
          <w:sz w:val="20"/>
        </w:rPr>
        <w:t>исп. Казыкенова А. О. тел. 2619248</w:t>
      </w:r>
    </w:p>
    <w:sectPr w:rsidR="004257E5">
      <w:pgSz w:w="11902" w:h="16834"/>
      <w:pgMar w:top="873" w:right="324" w:bottom="878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085B"/>
    <w:multiLevelType w:val="hybridMultilevel"/>
    <w:tmpl w:val="8E68AADE"/>
    <w:lvl w:ilvl="0" w:tplc="B69E746C">
      <w:start w:val="1"/>
      <w:numFmt w:val="decimal"/>
      <w:lvlText w:val="%1)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6E21C8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523492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527544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6002A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8084D2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A49A4A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9E96F6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98A4E2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FA3CC7"/>
    <w:multiLevelType w:val="hybridMultilevel"/>
    <w:tmpl w:val="E0584D88"/>
    <w:lvl w:ilvl="0" w:tplc="B680EA3C">
      <w:start w:val="4"/>
      <w:numFmt w:val="decimal"/>
      <w:lvlText w:val="%1)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0AEEAE">
      <w:start w:val="1"/>
      <w:numFmt w:val="lowerLetter"/>
      <w:lvlText w:val="%2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9284B0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E0B8CC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3C5252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3A311A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3C57F6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B66C9A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4A75E8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E5"/>
    <w:rsid w:val="004257E5"/>
    <w:rsid w:val="009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56664-3D3E-458C-BBC9-E02E2D0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7" w:line="243" w:lineRule="auto"/>
      <w:ind w:left="209" w:right="43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Исаева</dc:creator>
  <cp:keywords/>
  <cp:lastModifiedBy>Юлия Исаева</cp:lastModifiedBy>
  <cp:revision>2</cp:revision>
  <dcterms:created xsi:type="dcterms:W3CDTF">2017-09-19T04:27:00Z</dcterms:created>
  <dcterms:modified xsi:type="dcterms:W3CDTF">2017-09-19T04:27:00Z</dcterms:modified>
</cp:coreProperties>
</file>