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61" w:rsidRPr="00121B61" w:rsidRDefault="00121B61" w:rsidP="00823B99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121B61" w:rsidRPr="00121B61" w:rsidRDefault="00121B61" w:rsidP="00823B99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</w:p>
    <w:p w:rsidR="00524393" w:rsidRPr="00121B61" w:rsidRDefault="00524393" w:rsidP="00823B9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823B99" w:rsidRPr="00121B61" w:rsidRDefault="00823B99" w:rsidP="00823B9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21B61">
        <w:rPr>
          <w:rFonts w:cs="Times New Roman"/>
          <w:sz w:val="24"/>
          <w:szCs w:val="24"/>
        </w:rPr>
        <w:t xml:space="preserve">Сравнительная таблица </w:t>
      </w:r>
    </w:p>
    <w:p w:rsidR="00823B99" w:rsidRPr="00121B61" w:rsidRDefault="00823B99" w:rsidP="00823B9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21B61">
        <w:rPr>
          <w:rFonts w:cs="Times New Roman"/>
          <w:sz w:val="24"/>
          <w:szCs w:val="24"/>
        </w:rPr>
        <w:t>предложений к Нормативным значениям и методике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утвержденным постановлением Правления Национального Банка Республики Казахстан от 26 декабря 2016 года № 304</w:t>
      </w:r>
    </w:p>
    <w:tbl>
      <w:tblPr>
        <w:tblStyle w:val="a9"/>
        <w:tblpPr w:leftFromText="180" w:rightFromText="180" w:vertAnchor="text" w:tblpX="-209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79"/>
        <w:gridCol w:w="1359"/>
        <w:gridCol w:w="4394"/>
        <w:gridCol w:w="4394"/>
        <w:gridCol w:w="4678"/>
      </w:tblGrid>
      <w:tr w:rsidR="00823B99" w:rsidRPr="00121B61" w:rsidTr="000F0EAC">
        <w:tc>
          <w:tcPr>
            <w:tcW w:w="479" w:type="dxa"/>
            <w:vAlign w:val="center"/>
          </w:tcPr>
          <w:p w:rsidR="00823B99" w:rsidRPr="00121B61" w:rsidRDefault="00823B99" w:rsidP="00823B99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21B61">
              <w:rPr>
                <w:rFonts w:eastAsia="Calibri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59" w:type="dxa"/>
            <w:vAlign w:val="center"/>
          </w:tcPr>
          <w:p w:rsidR="00823B99" w:rsidRPr="00121B61" w:rsidRDefault="00823B99" w:rsidP="00823B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1B61">
              <w:rPr>
                <w:rFonts w:eastAsia="Calibri" w:cs="Times New Roman"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4394" w:type="dxa"/>
            <w:vAlign w:val="center"/>
          </w:tcPr>
          <w:p w:rsidR="00823B99" w:rsidRPr="00121B61" w:rsidRDefault="00823B99" w:rsidP="00823B99">
            <w:pPr>
              <w:widowControl w:val="0"/>
              <w:autoSpaceDE w:val="0"/>
              <w:autoSpaceDN w:val="0"/>
              <w:adjustRightInd w:val="0"/>
              <w:ind w:firstLine="351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1B61">
              <w:rPr>
                <w:rFonts w:eastAsia="Calibri" w:cs="Times New Roman"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4394" w:type="dxa"/>
            <w:vAlign w:val="center"/>
          </w:tcPr>
          <w:p w:rsidR="00823B99" w:rsidRPr="00121B61" w:rsidRDefault="00823B99" w:rsidP="00823B99">
            <w:pPr>
              <w:widowControl w:val="0"/>
              <w:autoSpaceDE w:val="0"/>
              <w:autoSpaceDN w:val="0"/>
              <w:adjustRightInd w:val="0"/>
              <w:ind w:firstLine="351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1B61">
              <w:rPr>
                <w:rFonts w:eastAsia="Calibri" w:cs="Times New Roman"/>
                <w:bCs/>
                <w:sz w:val="24"/>
                <w:szCs w:val="24"/>
              </w:rPr>
              <w:t>Предлагаемая АСК редакция</w:t>
            </w:r>
          </w:p>
        </w:tc>
        <w:tc>
          <w:tcPr>
            <w:tcW w:w="4678" w:type="dxa"/>
            <w:vAlign w:val="center"/>
          </w:tcPr>
          <w:p w:rsidR="00823B99" w:rsidRPr="00121B61" w:rsidRDefault="00823B99" w:rsidP="00823B99">
            <w:pPr>
              <w:widowControl w:val="0"/>
              <w:autoSpaceDE w:val="0"/>
              <w:autoSpaceDN w:val="0"/>
              <w:adjustRightInd w:val="0"/>
              <w:ind w:firstLine="351"/>
              <w:contextualSpacing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121B61">
              <w:rPr>
                <w:rFonts w:eastAsia="Calibri" w:cs="Times New Roman"/>
                <w:bCs/>
                <w:sz w:val="24"/>
                <w:szCs w:val="24"/>
              </w:rPr>
              <w:t>Обоснование</w:t>
            </w:r>
          </w:p>
        </w:tc>
      </w:tr>
      <w:tr w:rsidR="00637063" w:rsidRPr="00121B61" w:rsidTr="000F0EAC">
        <w:trPr>
          <w:trHeight w:val="345"/>
        </w:trPr>
        <w:tc>
          <w:tcPr>
            <w:tcW w:w="479" w:type="dxa"/>
          </w:tcPr>
          <w:p w:rsidR="00637063" w:rsidRPr="00121B61" w:rsidRDefault="00637063" w:rsidP="00823B99">
            <w:pPr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637063" w:rsidRPr="00121B61" w:rsidRDefault="00637063" w:rsidP="00823B99">
            <w:pPr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Абзац седьмой пункта 36</w:t>
            </w:r>
          </w:p>
        </w:tc>
        <w:tc>
          <w:tcPr>
            <w:tcW w:w="4394" w:type="dxa"/>
          </w:tcPr>
          <w:p w:rsidR="00637063" w:rsidRPr="00121B61" w:rsidRDefault="00637063" w:rsidP="00823B99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 xml:space="preserve">36. В сумму доли перестраховщика в страховых резервах при расчете норматива достаточности высоколиквидных активов и фактической маржи платежеспособности с учетом классификации активов по качеству и ликвидности в соответствии с </w:t>
            </w:r>
            <w:bookmarkStart w:id="1" w:name="sub1005563835"/>
            <w:r w:rsidR="00D641B5" w:rsidRPr="00121B61">
              <w:rPr>
                <w:rStyle w:val="s2"/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121B61">
              <w:rPr>
                <w:rStyle w:val="s2"/>
                <w:rFonts w:cs="Times New Roman"/>
                <w:color w:val="auto"/>
                <w:sz w:val="24"/>
                <w:szCs w:val="24"/>
              </w:rPr>
              <w:instrText xml:space="preserve"> HYPERLINK "jl:39366641.3300.1005563835_1" \o "Постановление Правления Национального Банка Республики Казахстан от 26 декабря 2016 года № 304 \«Об установлении нормативных значений и методики расчетов пруденциальных нормативов страховой (перестраховочной) организации и страховой группы и иных обязательных к соблюдению норм и лимитов, перечня, форм, сроков представления отчетности о выполнении пруденциальных нормативов страховыми (перестраховочными) организациями и страховыми группами, Правил представления отчетности о выполнении пруденциальных нормативов страховыми (перестраховочными) организациями и страховыми группами,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устав..." </w:instrText>
            </w:r>
            <w:r w:rsidR="00D641B5" w:rsidRPr="00121B61">
              <w:rPr>
                <w:rStyle w:val="s2"/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121B61">
              <w:rPr>
                <w:rStyle w:val="a6"/>
                <w:rFonts w:cs="Times New Roman"/>
                <w:color w:val="auto"/>
                <w:sz w:val="24"/>
                <w:szCs w:val="24"/>
                <w:u w:val="none"/>
              </w:rPr>
              <w:t>пунктом 33</w:t>
            </w:r>
            <w:r w:rsidR="00D641B5" w:rsidRPr="00121B61">
              <w:rPr>
                <w:rStyle w:val="s2"/>
                <w:rFonts w:cs="Times New Roman"/>
                <w:color w:val="auto"/>
                <w:sz w:val="24"/>
                <w:szCs w:val="24"/>
              </w:rPr>
              <w:fldChar w:fldCharType="end"/>
            </w:r>
            <w:bookmarkEnd w:id="1"/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 xml:space="preserve"> Нормативов не включается доля перестраховщика в страховых резервах по договорам перестрахования, заключенным со страховыми (перестраховочными) организациями, в одном из следующих случаев:</w:t>
            </w:r>
          </w:p>
          <w:p w:rsidR="00637063" w:rsidRPr="00121B61" w:rsidRDefault="00637063" w:rsidP="00823B99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color w:val="auto"/>
              </w:rPr>
              <w:t>…</w:t>
            </w:r>
          </w:p>
          <w:p w:rsidR="00637063" w:rsidRPr="00121B61" w:rsidRDefault="00637063" w:rsidP="00D727AF">
            <w:pPr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 xml:space="preserve">у страховой организации отсутствует подтверждение перестраховщика (перестраховщиков) в письменной форме о принятии им (ими) рисков на перестрахование (акцепта) с указанием </w:t>
            </w:r>
            <w:r w:rsidRPr="00121B61">
              <w:rPr>
                <w:rStyle w:val="s0"/>
                <w:rFonts w:asciiTheme="minorHAnsi" w:hAnsiTheme="minorHAnsi"/>
                <w:b/>
                <w:color w:val="auto"/>
                <w:sz w:val="24"/>
                <w:szCs w:val="24"/>
              </w:rPr>
              <w:t>всех</w:t>
            </w:r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 xml:space="preserve"> условий перестрахования. </w:t>
            </w:r>
            <w:r w:rsidRPr="00121B61">
              <w:rPr>
                <w:rStyle w:val="s0"/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В </w:t>
            </w:r>
            <w:r w:rsidRPr="00121B61">
              <w:rPr>
                <w:rStyle w:val="s0"/>
                <w:rFonts w:asciiTheme="minorHAnsi" w:hAnsiTheme="minorHAnsi"/>
                <w:b/>
                <w:color w:val="auto"/>
                <w:sz w:val="24"/>
                <w:szCs w:val="24"/>
              </w:rPr>
              <w:lastRenderedPageBreak/>
              <w:t>качестве подтверждения перестраховщика (перестраховщиков) о принятии им (ими) рисков на перестрахование (акцепта) до получения договора перестрахования принимается перестраховочная ковернота, оформленная страховым брокером. Перестраховочная ковернота принимается в качестве подтверждения перестраховщиком (перестраховщиками) принятых им (ими) рисков на перестрахование на срок не более 6 (шести) месяцев с даты передачи рисков согласно договору перестрахования.</w:t>
            </w:r>
            <w:bookmarkStart w:id="2" w:name="SUB3700"/>
            <w:bookmarkEnd w:id="2"/>
          </w:p>
        </w:tc>
        <w:tc>
          <w:tcPr>
            <w:tcW w:w="4394" w:type="dxa"/>
          </w:tcPr>
          <w:p w:rsidR="00637063" w:rsidRPr="00121B61" w:rsidRDefault="00637063" w:rsidP="00C90901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lastRenderedPageBreak/>
              <w:t xml:space="preserve">36. В сумму доли перестраховщика в страховых резервах при расчете норматива достаточности высоколиквидных активов и фактической маржи платежеспособности с учетом классификации активов по качеству и ликвидности в соответствии с </w:t>
            </w:r>
            <w:hyperlink r:id="rId8" w:tooltip="Постановление Правления Национального Банка Республики Казахстан от 26 декабря 2016 года № 304 " w:history="1">
              <w:r w:rsidRPr="00121B61">
                <w:rPr>
                  <w:rStyle w:val="a6"/>
                  <w:rFonts w:cs="Times New Roman"/>
                  <w:color w:val="auto"/>
                  <w:sz w:val="24"/>
                  <w:szCs w:val="24"/>
                  <w:u w:val="none"/>
                </w:rPr>
                <w:t>пунктом 33</w:t>
              </w:r>
            </w:hyperlink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 xml:space="preserve"> Нормативов не включается доля перестраховщика в страховых резервах по договорам перестрахования, заключенным со страховыми (перестраховочными) организациями, в одном из следующих случаев:</w:t>
            </w:r>
          </w:p>
          <w:p w:rsidR="00637063" w:rsidRPr="00121B61" w:rsidRDefault="00637063" w:rsidP="00C90901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color w:val="auto"/>
              </w:rPr>
              <w:t>…</w:t>
            </w:r>
          </w:p>
          <w:p w:rsidR="00637063" w:rsidRPr="00121B61" w:rsidRDefault="00637063" w:rsidP="00D727AF">
            <w:pPr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 xml:space="preserve">у страховой организации отсутствует подтверждение </w:t>
            </w:r>
            <w:r w:rsidRPr="00121B61"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  <w:t>перестраховщика (перестраховщиков) в письменной форме о принятии им (ими)</w:t>
            </w:r>
            <w:r w:rsidRPr="00121B61">
              <w:rPr>
                <w:rFonts w:cs="Times New Roman"/>
                <w:sz w:val="24"/>
                <w:szCs w:val="24"/>
              </w:rPr>
              <w:t xml:space="preserve">рисков на перестрахование (акцепта) с указанием </w:t>
            </w:r>
            <w:r w:rsidRPr="00121B61">
              <w:rPr>
                <w:rFonts w:cs="Times New Roman"/>
                <w:b/>
                <w:sz w:val="24"/>
                <w:szCs w:val="24"/>
              </w:rPr>
              <w:t>принятых</w:t>
            </w:r>
            <w:r w:rsidRPr="00121B61">
              <w:rPr>
                <w:rFonts w:cs="Times New Roman"/>
                <w:sz w:val="24"/>
                <w:szCs w:val="24"/>
              </w:rPr>
              <w:t xml:space="preserve"> условий  перестрахования</w:t>
            </w:r>
            <w:r w:rsidRPr="00121B61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121B61">
              <w:rPr>
                <w:rFonts w:cs="Times New Roman"/>
                <w:b/>
                <w:sz w:val="24"/>
                <w:szCs w:val="24"/>
              </w:rPr>
              <w:lastRenderedPageBreak/>
              <w:t>полученное от перестраховщика и (или) страхового брокера</w:t>
            </w:r>
          </w:p>
        </w:tc>
        <w:tc>
          <w:tcPr>
            <w:tcW w:w="4678" w:type="dxa"/>
            <w:vMerge w:val="restart"/>
          </w:tcPr>
          <w:p w:rsidR="00637063" w:rsidRPr="00121B61" w:rsidRDefault="00637063" w:rsidP="00637063">
            <w:pPr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lastRenderedPageBreak/>
              <w:t xml:space="preserve">С точки зрения деловой международной практики, учитывая существующие проекты по перестрахованию, а также значительное количество перестраховщиков в панели (которое может достигать нескольких десятков), представляется крайне затруднительным, а в отдельных случаях и невозможным, исполнение требований, изложенных в действующей редакции. </w:t>
            </w:r>
          </w:p>
          <w:p w:rsidR="00637063" w:rsidRPr="00121B61" w:rsidRDefault="00637063" w:rsidP="00637063">
            <w:pPr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 xml:space="preserve">В международной практике достаточно предоставления страховым брокером ковер-ноты и подписного листа лидирующим перестраховщиком в панели перестраховщиков. </w:t>
            </w:r>
          </w:p>
          <w:p w:rsidR="00637063" w:rsidRPr="00121B61" w:rsidRDefault="00637063" w:rsidP="00637063">
            <w:pPr>
              <w:ind w:firstLine="318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  <w:lang w:val="kk-KZ"/>
              </w:rPr>
              <w:t>Необходимо отметить</w:t>
            </w:r>
            <w:r w:rsidRPr="00121B61">
              <w:rPr>
                <w:rFonts w:cs="Times New Roman"/>
                <w:sz w:val="24"/>
                <w:szCs w:val="24"/>
              </w:rPr>
              <w:t xml:space="preserve">, что одной из причин обращения страховых компаний за помощью к страховым брокерам является желание получить высококачественную перестраховочную защиту при наименьших </w:t>
            </w:r>
            <w:r w:rsidRPr="00121B61">
              <w:rPr>
                <w:rFonts w:cs="Times New Roman"/>
                <w:sz w:val="24"/>
                <w:szCs w:val="24"/>
              </w:rPr>
              <w:lastRenderedPageBreak/>
              <w:t>трудозатратах и экономии администрирования по крупным и сложным проектам, где в панели перестрахования участвуют 10 и более участников, находящихся зачастую на разных континентах. Таким образом, реализация требований, заложенных в действующей редакции, затруднительна, влечет к существенному увеличению администрирования проектов по перестрахованию.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 xml:space="preserve">Кроме того, при перестраховании рисков через страховых брокеров, страховая компания не всегда может иметь прямой доступ к перестраховщикам ввиду специфики работы определенных перестраховочных компаний (к примеру агентства и синдикаты Ллойдс). Также казахстанские страховые компании сталкиваются с ситуациями, когда перестраховщику комфортно работать с известным ему страховым брокером и он отказывается общаться со страховыми компаниями напрямую. Многие профессиональные игроки международного страхового рынка отказываются подписывать индивидуальные договоры перестрахования, ссылаясь на практику международного рынка и не доверяя </w:t>
            </w:r>
            <w:r w:rsidRPr="00121B61">
              <w:rPr>
                <w:rFonts w:cs="Times New Roman"/>
                <w:sz w:val="24"/>
                <w:szCs w:val="24"/>
              </w:rPr>
              <w:lastRenderedPageBreak/>
              <w:t xml:space="preserve">отдельным страховым компаниям с развивающихся рынков.  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 xml:space="preserve">Действующая редакция, помимо того, что противоречит принятой международной практике, также косвенно ставит под сомнение достоверность ковер-нот, выдаваемых страховыми брокерами, являющимися профессиональными участниками рынка страхования, и не учитывает требования к их деятельности, установленные Инструкцией №6. 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Так, Инструкция №6, учитывает все вышеуказанные особенности международного рынка страхования и содержит в числе прочих следующие положения: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- перестраховочная ковернота составляется в соответствии с принятой практикой делового оборота международного страхового рынка (п/п 1) п.1);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- при передаче страховым брокером страховых рисков в перестрахование через страховых брокеров-нерезидентов Республики Казахстан наличие отметки (подпись уполномоченного лица и/или печать) перестраховочной организации о принятии страховых рисков на перестрахование в перестраховочной коверноте не обязательно (п.12).</w:t>
            </w:r>
          </w:p>
          <w:p w:rsidR="00637063" w:rsidRPr="00121B61" w:rsidRDefault="00637063" w:rsidP="00637063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lastRenderedPageBreak/>
              <w:t>Таким образом, налицо введение явно завышенных требований к страховщикам при расчете страховых резервов при отсутствии концептуальных изменений в порядке регулирования деятельности страховых брокеров.</w:t>
            </w:r>
          </w:p>
          <w:p w:rsidR="00637063" w:rsidRPr="00121B61" w:rsidRDefault="00637063" w:rsidP="00823B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7063" w:rsidRPr="00121B61" w:rsidTr="000F0EAC">
        <w:trPr>
          <w:trHeight w:val="345"/>
        </w:trPr>
        <w:tc>
          <w:tcPr>
            <w:tcW w:w="479" w:type="dxa"/>
          </w:tcPr>
          <w:p w:rsidR="00637063" w:rsidRPr="00121B61" w:rsidRDefault="00637063" w:rsidP="00823B99">
            <w:pPr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637063" w:rsidRPr="00121B61" w:rsidRDefault="00637063" w:rsidP="00823B99">
            <w:pPr>
              <w:rPr>
                <w:rFonts w:cs="Times New Roman"/>
                <w:sz w:val="24"/>
                <w:szCs w:val="24"/>
              </w:rPr>
            </w:pPr>
            <w:r w:rsidRPr="00121B61">
              <w:rPr>
                <w:rFonts w:cs="Times New Roman"/>
                <w:sz w:val="24"/>
                <w:szCs w:val="24"/>
              </w:rPr>
              <w:t>Абзац третий пункта 37</w:t>
            </w:r>
          </w:p>
        </w:tc>
        <w:tc>
          <w:tcPr>
            <w:tcW w:w="4394" w:type="dxa"/>
          </w:tcPr>
          <w:p w:rsidR="00637063" w:rsidRPr="00121B61" w:rsidRDefault="00637063" w:rsidP="00823B99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t>37. Для целей Нормативов:</w:t>
            </w:r>
          </w:p>
          <w:p w:rsidR="00637063" w:rsidRPr="00121B61" w:rsidRDefault="00637063" w:rsidP="00823B99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t>договором факультативного перестрахования признается соглашение между перестрахователем (цедентом) и перестраховщиком, в соответствии с условиями которого у перестраховщика возникает обязательство произвести страховую выплату при наступлении страхового случая по договору страхования, на который распространяется страховое покрытие, а перестрахователь (цедент) обязуется уплатить перестраховщику страховую премию, а также исполнять иные обязанности, предусмотренные данным соглашением;</w:t>
            </w:r>
          </w:p>
          <w:p w:rsidR="00637063" w:rsidRPr="00121B61" w:rsidRDefault="00637063" w:rsidP="00823B99">
            <w:pPr>
              <w:ind w:firstLine="400"/>
              <w:jc w:val="both"/>
              <w:rPr>
                <w:rStyle w:val="s0"/>
                <w:rFonts w:asciiTheme="minorHAnsi" w:hAnsiTheme="minorHAnsi"/>
                <w:color w:val="auto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lastRenderedPageBreak/>
              <w:t>перестраховочной ковернотой является документ, подтверждающий обязательство перестраховочной организации в отношении доли риска принятого ею в перестрахование, и оформляемый страховым брокером в отношении каждого отдельного договора перестрахования, в котором отражены основные условия договора перестрахования, на котором перестраховочная организация производит отметку (подпись уполномоченного лица либо печать) о доле риска (часть страховой суммы), принятого ею на перестрахование с указанием полного наименования перестраховочной организации.</w:t>
            </w:r>
          </w:p>
        </w:tc>
        <w:tc>
          <w:tcPr>
            <w:tcW w:w="4394" w:type="dxa"/>
          </w:tcPr>
          <w:p w:rsidR="00637063" w:rsidRPr="00121B61" w:rsidRDefault="00637063" w:rsidP="006B1107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lastRenderedPageBreak/>
              <w:t>37. Для целей Нормативов:</w:t>
            </w:r>
          </w:p>
          <w:p w:rsidR="00637063" w:rsidRPr="00121B61" w:rsidRDefault="00637063" w:rsidP="006B1107">
            <w:pPr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t>договором факультативного перестрахования признается соглашение между перестрахователем (цедентом) и перестраховщиком, в соответствии с условиями которого у перестраховщика возникает обязательство произвести страховую выплату при наступлении страхового случая по договору страхования, на который распространяется страховое покрытие, а перестрахователь (цедент) обязуется уплатить перестраховщику страховую премию, а также исполнять иные обязанности, предусмотренные данным соглашением;</w:t>
            </w:r>
          </w:p>
          <w:p w:rsidR="00637063" w:rsidRPr="00121B61" w:rsidRDefault="00637063" w:rsidP="006B1107">
            <w:pPr>
              <w:ind w:firstLine="40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21B61">
              <w:rPr>
                <w:rStyle w:val="s0"/>
                <w:rFonts w:asciiTheme="minorHAnsi" w:hAnsiTheme="minorHAnsi"/>
                <w:sz w:val="24"/>
                <w:szCs w:val="24"/>
              </w:rPr>
              <w:lastRenderedPageBreak/>
              <w:t>перестраховочной ковернотой является документ, подтверждающий обязательство перестраховочной организации в отношении доли риска принятого ею в перестрахование, и оформляемый страховым брокером в отношении каждого отдельного договора перестрахования, в котором отражены основные условия договора перестрахования, на котором перестраховочная организация производит отметку (подпись уполномоченного лица либо печать) о доле риска (часть страховой суммы), принятого ею на перестрахование с указанием полного наименования перестраховочной организации.</w:t>
            </w:r>
            <w:r w:rsidRPr="00121B61">
              <w:rPr>
                <w:rStyle w:val="s0"/>
                <w:rFonts w:asciiTheme="minorHAnsi" w:hAnsiTheme="minorHAnsi"/>
                <w:b/>
                <w:sz w:val="24"/>
                <w:szCs w:val="24"/>
              </w:rPr>
              <w:t>Перестраховочная ковернота составляется в соответствии с принятой практикой делового оборота международного страхового рынка.</w:t>
            </w:r>
          </w:p>
        </w:tc>
        <w:tc>
          <w:tcPr>
            <w:tcW w:w="4678" w:type="dxa"/>
            <w:vMerge/>
          </w:tcPr>
          <w:p w:rsidR="00637063" w:rsidRPr="00121B61" w:rsidRDefault="00637063" w:rsidP="00823B99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312F91" w:rsidRPr="00121B61" w:rsidRDefault="00312F91" w:rsidP="00823B99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sectPr w:rsidR="00312F91" w:rsidRPr="00121B61" w:rsidSect="00823B99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C4" w:rsidRDefault="00A21BC4" w:rsidP="00C71836">
      <w:pPr>
        <w:spacing w:after="0" w:line="240" w:lineRule="auto"/>
      </w:pPr>
      <w:r>
        <w:separator/>
      </w:r>
    </w:p>
  </w:endnote>
  <w:endnote w:type="continuationSeparator" w:id="0">
    <w:p w:rsidR="00A21BC4" w:rsidRDefault="00A21BC4" w:rsidP="00C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C4" w:rsidRDefault="00A21BC4" w:rsidP="00C71836">
      <w:pPr>
        <w:spacing w:after="0" w:line="240" w:lineRule="auto"/>
      </w:pPr>
      <w:r>
        <w:separator/>
      </w:r>
    </w:p>
  </w:footnote>
  <w:footnote w:type="continuationSeparator" w:id="0">
    <w:p w:rsidR="00A21BC4" w:rsidRDefault="00A21BC4" w:rsidP="00C7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5C02"/>
    <w:multiLevelType w:val="hybridMultilevel"/>
    <w:tmpl w:val="121E74C2"/>
    <w:lvl w:ilvl="0" w:tplc="CB46F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ind w:left="2367" w:hanging="180"/>
      </w:pPr>
    </w:lvl>
    <w:lvl w:ilvl="3" w:tplc="043F000F" w:tentative="1">
      <w:start w:val="1"/>
      <w:numFmt w:val="decimal"/>
      <w:lvlText w:val="%4."/>
      <w:lvlJc w:val="left"/>
      <w:pPr>
        <w:ind w:left="3087" w:hanging="360"/>
      </w:pPr>
    </w:lvl>
    <w:lvl w:ilvl="4" w:tplc="043F0019" w:tentative="1">
      <w:start w:val="1"/>
      <w:numFmt w:val="lowerLetter"/>
      <w:lvlText w:val="%5."/>
      <w:lvlJc w:val="left"/>
      <w:pPr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9D"/>
    <w:rsid w:val="000016BD"/>
    <w:rsid w:val="00020289"/>
    <w:rsid w:val="000A6892"/>
    <w:rsid w:val="000C651F"/>
    <w:rsid w:val="000D2D53"/>
    <w:rsid w:val="000F0EAC"/>
    <w:rsid w:val="001142E6"/>
    <w:rsid w:val="00121B61"/>
    <w:rsid w:val="00137C9A"/>
    <w:rsid w:val="0017159D"/>
    <w:rsid w:val="001C4B84"/>
    <w:rsid w:val="00256F15"/>
    <w:rsid w:val="002B2DBC"/>
    <w:rsid w:val="00312F91"/>
    <w:rsid w:val="00375250"/>
    <w:rsid w:val="00383318"/>
    <w:rsid w:val="003972EF"/>
    <w:rsid w:val="003B1B81"/>
    <w:rsid w:val="003C4ECE"/>
    <w:rsid w:val="003C70F8"/>
    <w:rsid w:val="0044178E"/>
    <w:rsid w:val="004C5FB7"/>
    <w:rsid w:val="004E4B00"/>
    <w:rsid w:val="00506921"/>
    <w:rsid w:val="00512FDE"/>
    <w:rsid w:val="00515515"/>
    <w:rsid w:val="00524393"/>
    <w:rsid w:val="00536BAF"/>
    <w:rsid w:val="00543EE6"/>
    <w:rsid w:val="005735D7"/>
    <w:rsid w:val="005B2029"/>
    <w:rsid w:val="005F474D"/>
    <w:rsid w:val="00630170"/>
    <w:rsid w:val="00637063"/>
    <w:rsid w:val="006453FC"/>
    <w:rsid w:val="006B1107"/>
    <w:rsid w:val="006C1D11"/>
    <w:rsid w:val="006D38E6"/>
    <w:rsid w:val="006F2429"/>
    <w:rsid w:val="0070161B"/>
    <w:rsid w:val="00714E74"/>
    <w:rsid w:val="00715D26"/>
    <w:rsid w:val="0074289B"/>
    <w:rsid w:val="00772279"/>
    <w:rsid w:val="00777390"/>
    <w:rsid w:val="00785C04"/>
    <w:rsid w:val="007E0708"/>
    <w:rsid w:val="007F05D6"/>
    <w:rsid w:val="00820D3E"/>
    <w:rsid w:val="00823B99"/>
    <w:rsid w:val="008508AD"/>
    <w:rsid w:val="0086039B"/>
    <w:rsid w:val="00860FE8"/>
    <w:rsid w:val="00893BFA"/>
    <w:rsid w:val="008D0759"/>
    <w:rsid w:val="008F3AB1"/>
    <w:rsid w:val="00903947"/>
    <w:rsid w:val="009D6C36"/>
    <w:rsid w:val="00A2031E"/>
    <w:rsid w:val="00A21BC4"/>
    <w:rsid w:val="00A40DA4"/>
    <w:rsid w:val="00A55DB2"/>
    <w:rsid w:val="00AC2C5E"/>
    <w:rsid w:val="00AD08EB"/>
    <w:rsid w:val="00B22A77"/>
    <w:rsid w:val="00B3385D"/>
    <w:rsid w:val="00B82372"/>
    <w:rsid w:val="00BA1D6D"/>
    <w:rsid w:val="00BA6241"/>
    <w:rsid w:val="00BB5E01"/>
    <w:rsid w:val="00BB76B7"/>
    <w:rsid w:val="00C027F4"/>
    <w:rsid w:val="00C51254"/>
    <w:rsid w:val="00C71836"/>
    <w:rsid w:val="00C90901"/>
    <w:rsid w:val="00C90FA9"/>
    <w:rsid w:val="00C9683D"/>
    <w:rsid w:val="00CA337A"/>
    <w:rsid w:val="00CC492D"/>
    <w:rsid w:val="00CD0759"/>
    <w:rsid w:val="00CF37D5"/>
    <w:rsid w:val="00D2367A"/>
    <w:rsid w:val="00D56058"/>
    <w:rsid w:val="00D641B5"/>
    <w:rsid w:val="00D727AF"/>
    <w:rsid w:val="00DB7332"/>
    <w:rsid w:val="00E31D62"/>
    <w:rsid w:val="00E41921"/>
    <w:rsid w:val="00E77BF2"/>
    <w:rsid w:val="00EB050C"/>
    <w:rsid w:val="00ED2E71"/>
    <w:rsid w:val="00EF370D"/>
    <w:rsid w:val="00F21865"/>
    <w:rsid w:val="00F443A8"/>
    <w:rsid w:val="00F60591"/>
    <w:rsid w:val="00F61983"/>
    <w:rsid w:val="00F64BEC"/>
    <w:rsid w:val="00F675C7"/>
    <w:rsid w:val="00FB703C"/>
    <w:rsid w:val="00FB7C21"/>
    <w:rsid w:val="00FC4994"/>
    <w:rsid w:val="00F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1EBD8-C86A-4647-9AEA-8A6702B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18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18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1836"/>
    <w:rPr>
      <w:vertAlign w:val="superscript"/>
    </w:rPr>
  </w:style>
  <w:style w:type="character" w:customStyle="1" w:styleId="s1">
    <w:name w:val="s1"/>
    <w:rsid w:val="00C71836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3C70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37525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6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23B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2">
    <w:name w:val="s2"/>
    <w:basedOn w:val="a0"/>
    <w:rsid w:val="00823B99"/>
    <w:rPr>
      <w:color w:val="000080"/>
    </w:rPr>
  </w:style>
  <w:style w:type="character" w:customStyle="1" w:styleId="s20">
    <w:name w:val="s20"/>
    <w:basedOn w:val="a0"/>
    <w:rsid w:val="006B1107"/>
  </w:style>
  <w:style w:type="paragraph" w:styleId="aa">
    <w:name w:val="List Paragraph"/>
    <w:basedOn w:val="a"/>
    <w:uiPriority w:val="34"/>
    <w:qFormat/>
    <w:rsid w:val="00A5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366641.3300.1005563835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D644-08A6-43D2-BF32-2083C527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Чегебаев</dc:creator>
  <cp:keywords/>
  <dc:description/>
  <cp:lastModifiedBy>Юлия Исаева</cp:lastModifiedBy>
  <cp:revision>2</cp:revision>
  <cp:lastPrinted>2017-10-16T04:20:00Z</cp:lastPrinted>
  <dcterms:created xsi:type="dcterms:W3CDTF">2017-10-16T08:46:00Z</dcterms:created>
  <dcterms:modified xsi:type="dcterms:W3CDTF">2017-10-16T08:46:00Z</dcterms:modified>
</cp:coreProperties>
</file>